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60E20" w14:textId="6CDDCF97" w:rsidR="00581FF4" w:rsidRDefault="006C01EB" w:rsidP="00581FF4">
      <w:pPr>
        <w:jc w:val="center"/>
        <w:rPr>
          <w:rFonts w:ascii="Arial Narrow" w:hAnsi="Arial Narrow"/>
          <w:b/>
          <w:i/>
          <w:sz w:val="36"/>
          <w:szCs w:val="36"/>
        </w:rPr>
      </w:pPr>
      <w:r w:rsidRPr="006C01EB">
        <w:rPr>
          <w:rFonts w:ascii="Arial Narrow" w:hAnsi="Arial Narrow"/>
          <w:b/>
          <w:i/>
          <w:sz w:val="36"/>
          <w:szCs w:val="36"/>
        </w:rPr>
        <w:t>Finding Grace</w:t>
      </w:r>
    </w:p>
    <w:p w14:paraId="1471BB56" w14:textId="77777777" w:rsidR="006C01EB" w:rsidRPr="006C01EB" w:rsidRDefault="006C01EB" w:rsidP="00581FF4">
      <w:pPr>
        <w:jc w:val="center"/>
        <w:rPr>
          <w:rFonts w:ascii="Arial Narrow" w:hAnsi="Arial Narrow"/>
          <w:b/>
          <w:i/>
          <w:sz w:val="36"/>
          <w:szCs w:val="36"/>
        </w:rPr>
      </w:pPr>
      <w:bookmarkStart w:id="0" w:name="_GoBack"/>
      <w:bookmarkEnd w:id="0"/>
    </w:p>
    <w:p w14:paraId="6CA8D23D" w14:textId="77777777" w:rsidR="00581FF4" w:rsidRPr="00581FF4" w:rsidRDefault="00581FF4" w:rsidP="00581FF4">
      <w:pPr>
        <w:jc w:val="center"/>
        <w:rPr>
          <w:rFonts w:ascii="Arial Narrow" w:hAnsi="Arial Narrow"/>
          <w:b/>
          <w:i/>
          <w:sz w:val="22"/>
          <w:szCs w:val="22"/>
        </w:rPr>
      </w:pPr>
      <w:r w:rsidRPr="00581FF4">
        <w:rPr>
          <w:rFonts w:ascii="Arial Narrow" w:hAnsi="Arial Narrow"/>
          <w:b/>
          <w:i/>
          <w:sz w:val="22"/>
          <w:szCs w:val="22"/>
        </w:rPr>
        <w:t>READING GUIDE QUESTIONS</w:t>
      </w:r>
    </w:p>
    <w:p w14:paraId="23966E97" w14:textId="77777777" w:rsidR="00581FF4" w:rsidRPr="00581FF4" w:rsidRDefault="00581FF4" w:rsidP="00581FF4">
      <w:pPr>
        <w:rPr>
          <w:rFonts w:ascii="Arial Narrow" w:hAnsi="Arial Narrow"/>
          <w:sz w:val="22"/>
          <w:szCs w:val="22"/>
        </w:rPr>
      </w:pPr>
    </w:p>
    <w:p w14:paraId="3EE9824E"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1.</w:t>
      </w:r>
      <w:r w:rsidRPr="006C01EB">
        <w:rPr>
          <w:color w:val="000000"/>
          <w:sz w:val="14"/>
          <w:szCs w:val="14"/>
        </w:rPr>
        <w:t>     </w:t>
      </w:r>
      <w:r w:rsidRPr="006C01EB">
        <w:rPr>
          <w:rFonts w:ascii="Palatino Linotype" w:hAnsi="Palatino Linotype"/>
          <w:color w:val="000000"/>
        </w:rPr>
        <w:t>How do you define grace? Explain why and how you have come to your definition.</w:t>
      </w:r>
    </w:p>
    <w:p w14:paraId="1F38CCB8" w14:textId="77777777" w:rsidR="006C01EB" w:rsidRPr="006C01EB" w:rsidRDefault="006C01EB" w:rsidP="006C01EB">
      <w:pPr>
        <w:ind w:left="1080" w:hanging="360"/>
        <w:rPr>
          <w:rFonts w:ascii="Arial Narrow" w:hAnsi="Arial Narrow"/>
          <w:color w:val="000000"/>
        </w:rPr>
      </w:pPr>
      <w:r w:rsidRPr="006C01EB">
        <w:rPr>
          <w:rFonts w:ascii="Palatino" w:hAnsi="Palatino"/>
          <w:color w:val="000000"/>
        </w:rPr>
        <w:t> </w:t>
      </w:r>
    </w:p>
    <w:p w14:paraId="61127546"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2.</w:t>
      </w:r>
      <w:r w:rsidRPr="006C01EB">
        <w:rPr>
          <w:color w:val="000000"/>
          <w:sz w:val="14"/>
          <w:szCs w:val="14"/>
        </w:rPr>
        <w:t>     </w:t>
      </w:r>
      <w:r w:rsidRPr="006C01EB">
        <w:rPr>
          <w:rFonts w:ascii="Palatino Linotype" w:hAnsi="Palatino Linotype"/>
          <w:color w:val="000000"/>
        </w:rPr>
        <w:t>In her essays, the author treats Grace as if it is a living character. Discuss how your understanding of this idea fits or conflicts with your own beliefs about grace.</w:t>
      </w:r>
    </w:p>
    <w:p w14:paraId="1C29F4BE"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 </w:t>
      </w:r>
    </w:p>
    <w:p w14:paraId="109EEF99"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3.</w:t>
      </w:r>
      <w:r w:rsidRPr="006C01EB">
        <w:rPr>
          <w:color w:val="000000"/>
          <w:sz w:val="14"/>
          <w:szCs w:val="14"/>
        </w:rPr>
        <w:t>     </w:t>
      </w:r>
      <w:r w:rsidRPr="006C01EB">
        <w:rPr>
          <w:rFonts w:ascii="Palatino Linotype" w:hAnsi="Palatino Linotype"/>
          <w:color w:val="000000"/>
        </w:rPr>
        <w:t>On the last page of the first essay, “the call of Grace,” Nicolet writes the following by Eckhart Tolle: “Acceptance of the unacceptable is the greatest source of grace in this world.” Does this quote have meaning in your life?</w:t>
      </w:r>
    </w:p>
    <w:p w14:paraId="3C5A7A81"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 </w:t>
      </w:r>
    </w:p>
    <w:p w14:paraId="761A69FF"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4.</w:t>
      </w:r>
      <w:r w:rsidRPr="006C01EB">
        <w:rPr>
          <w:color w:val="000000"/>
          <w:sz w:val="14"/>
          <w:szCs w:val="14"/>
        </w:rPr>
        <w:t>     </w:t>
      </w:r>
      <w:r w:rsidRPr="006C01EB">
        <w:rPr>
          <w:rFonts w:ascii="Palatino Linotype" w:hAnsi="Palatino Linotype"/>
          <w:color w:val="000000"/>
        </w:rPr>
        <w:t>Share your definition of paradox. How does Neils Bohr’s idea – that a paradox can contain two absolute truths – mesh with your own understanding of paradox?</w:t>
      </w:r>
    </w:p>
    <w:p w14:paraId="6E61523F"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 </w:t>
      </w:r>
    </w:p>
    <w:p w14:paraId="269D2968"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5.</w:t>
      </w:r>
      <w:r w:rsidRPr="006C01EB">
        <w:rPr>
          <w:color w:val="000000"/>
          <w:sz w:val="14"/>
          <w:szCs w:val="14"/>
        </w:rPr>
        <w:t>     </w:t>
      </w:r>
      <w:r w:rsidRPr="006C01EB">
        <w:rPr>
          <w:rFonts w:ascii="Palatino Linotype" w:hAnsi="Palatino Linotype"/>
          <w:color w:val="000000"/>
        </w:rPr>
        <w:t>Explain the </w:t>
      </w:r>
      <w:r w:rsidRPr="006C01EB">
        <w:rPr>
          <w:rFonts w:ascii="Palatino Linotype" w:hAnsi="Palatino Linotype"/>
          <w:i/>
          <w:iCs/>
          <w:color w:val="000000"/>
        </w:rPr>
        <w:t>Paradox Gap</w:t>
      </w:r>
      <w:r w:rsidRPr="006C01EB">
        <w:rPr>
          <w:rFonts w:ascii="Palatino Linotype" w:hAnsi="Palatino Linotype"/>
          <w:color w:val="000000"/>
        </w:rPr>
        <w:t> (found in the final essay) to another? Describe a situation of loss and/or grief in your life where you believe you moved into that gap and discovered something new.</w:t>
      </w:r>
    </w:p>
    <w:p w14:paraId="764A519F"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 </w:t>
      </w:r>
    </w:p>
    <w:p w14:paraId="1C2A2E9C"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6.</w:t>
      </w:r>
      <w:r w:rsidRPr="006C01EB">
        <w:rPr>
          <w:color w:val="000000"/>
          <w:sz w:val="14"/>
          <w:szCs w:val="14"/>
        </w:rPr>
        <w:t>     </w:t>
      </w:r>
      <w:r w:rsidRPr="006C01EB">
        <w:rPr>
          <w:rFonts w:ascii="Palatino Linotype" w:hAnsi="Palatino Linotype"/>
          <w:color w:val="000000"/>
        </w:rPr>
        <w:t>Do you believe, as the author writes, that grief and grace are both readily available within our hearts? Share your position and then talk about the experience that has taken you to that belief.</w:t>
      </w:r>
    </w:p>
    <w:p w14:paraId="194AD53D"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 </w:t>
      </w:r>
    </w:p>
    <w:p w14:paraId="66E35256" w14:textId="77777777" w:rsidR="006C01EB" w:rsidRPr="006C01EB" w:rsidRDefault="006C01EB" w:rsidP="006C01EB">
      <w:pPr>
        <w:spacing w:line="293" w:lineRule="atLeast"/>
        <w:ind w:left="1080" w:hanging="360"/>
        <w:rPr>
          <w:rFonts w:ascii="Arial Narrow" w:hAnsi="Arial Narrow"/>
          <w:color w:val="000000"/>
        </w:rPr>
      </w:pPr>
      <w:r w:rsidRPr="006C01EB">
        <w:rPr>
          <w:rFonts w:ascii="Arial Narrow" w:hAnsi="Arial Narrow"/>
          <w:color w:val="000000"/>
        </w:rPr>
        <w:t>7.</w:t>
      </w:r>
      <w:r w:rsidRPr="006C01EB">
        <w:rPr>
          <w:color w:val="000000"/>
          <w:sz w:val="14"/>
          <w:szCs w:val="14"/>
        </w:rPr>
        <w:t>     </w:t>
      </w:r>
      <w:r w:rsidRPr="006C01EB">
        <w:rPr>
          <w:rFonts w:ascii="Palatino Linotype" w:hAnsi="Palatino Linotype"/>
          <w:color w:val="000000"/>
        </w:rPr>
        <w:t>“ . . . the truth is that once profound grief takes up residence in you, time is meaningless; there is no returning to that accustomed place before it.” Does Nicolet’s quote ring true in your life? In what ways?</w:t>
      </w:r>
    </w:p>
    <w:p w14:paraId="39DA8A87" w14:textId="77777777" w:rsidR="006C01EB" w:rsidRPr="006C01EB" w:rsidRDefault="006C01EB" w:rsidP="006C01EB">
      <w:pPr>
        <w:spacing w:line="293" w:lineRule="atLeast"/>
        <w:ind w:left="1080" w:hanging="360"/>
        <w:rPr>
          <w:rFonts w:ascii="Arial Narrow" w:hAnsi="Arial Narrow"/>
          <w:color w:val="000000"/>
        </w:rPr>
      </w:pPr>
      <w:r w:rsidRPr="006C01EB">
        <w:rPr>
          <w:rFonts w:ascii="Arial Narrow" w:hAnsi="Arial Narrow"/>
          <w:color w:val="000000"/>
        </w:rPr>
        <w:t> </w:t>
      </w:r>
    </w:p>
    <w:p w14:paraId="10013C5B"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8.</w:t>
      </w:r>
      <w:r w:rsidRPr="006C01EB">
        <w:rPr>
          <w:color w:val="000000"/>
          <w:sz w:val="14"/>
          <w:szCs w:val="14"/>
        </w:rPr>
        <w:t>     </w:t>
      </w:r>
      <w:r w:rsidRPr="006C01EB">
        <w:rPr>
          <w:rFonts w:ascii="Palatino Linotype" w:hAnsi="Palatino Linotype"/>
          <w:color w:val="000000"/>
        </w:rPr>
        <w:t>In the third essay, “finding Grace in the mystery,” the author quotes Brian McLaren (</w:t>
      </w:r>
      <w:r w:rsidRPr="006C01EB">
        <w:rPr>
          <w:rFonts w:ascii="Palatino Linotype" w:hAnsi="Palatino Linotype"/>
          <w:color w:val="000000"/>
          <w:u w:val="single"/>
        </w:rPr>
        <w:t>We Make The Road By Walking</w:t>
      </w:r>
      <w:r w:rsidRPr="006C01EB">
        <w:rPr>
          <w:rFonts w:ascii="Palatino Linotype" w:hAnsi="Palatino Linotype"/>
          <w:color w:val="000000"/>
        </w:rPr>
        <w:t>) as saying: “Maybe a vision means seeing into what’s more real than anything else.” What does this statement mean to you? How might believing it impact the way you live your life?</w:t>
      </w:r>
    </w:p>
    <w:p w14:paraId="1A752456"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 </w:t>
      </w:r>
    </w:p>
    <w:p w14:paraId="1AFFB057"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9.</w:t>
      </w:r>
      <w:r w:rsidRPr="006C01EB">
        <w:rPr>
          <w:color w:val="000000"/>
          <w:sz w:val="14"/>
          <w:szCs w:val="14"/>
        </w:rPr>
        <w:t>     </w:t>
      </w:r>
      <w:r w:rsidRPr="006C01EB">
        <w:rPr>
          <w:rFonts w:ascii="Palatino Linotype" w:hAnsi="Palatino Linotype"/>
          <w:color w:val="000000"/>
        </w:rPr>
        <w:t>What do you think of the author’s belief that one cannot truly begin healing until he/she intentionally lives fully present, in the </w:t>
      </w:r>
      <w:r w:rsidRPr="006C01EB">
        <w:rPr>
          <w:rFonts w:ascii="Palatino Linotype" w:hAnsi="Palatino Linotype"/>
          <w:i/>
          <w:iCs/>
          <w:color w:val="000000"/>
        </w:rPr>
        <w:t>Now</w:t>
      </w:r>
      <w:r w:rsidRPr="006C01EB">
        <w:rPr>
          <w:rFonts w:ascii="Palatino Linotype" w:hAnsi="Palatino Linotype"/>
          <w:color w:val="000000"/>
        </w:rPr>
        <w:t> of time?</w:t>
      </w:r>
    </w:p>
    <w:p w14:paraId="5E1CBCD1" w14:textId="77777777" w:rsidR="006C01EB" w:rsidRPr="006C01EB" w:rsidRDefault="006C01EB" w:rsidP="006C01EB">
      <w:pPr>
        <w:ind w:left="1080" w:hanging="360"/>
        <w:rPr>
          <w:rFonts w:ascii="Arial Narrow" w:hAnsi="Arial Narrow"/>
          <w:color w:val="000000"/>
        </w:rPr>
      </w:pPr>
      <w:r w:rsidRPr="006C01EB">
        <w:rPr>
          <w:rFonts w:ascii="Arial Narrow" w:hAnsi="Arial Narrow"/>
          <w:color w:val="000000"/>
        </w:rPr>
        <w:t> </w:t>
      </w:r>
    </w:p>
    <w:p w14:paraId="0F847525"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10.</w:t>
      </w:r>
      <w:r w:rsidRPr="006C01EB">
        <w:rPr>
          <w:color w:val="000000"/>
          <w:sz w:val="14"/>
          <w:szCs w:val="14"/>
        </w:rPr>
        <w:t>  </w:t>
      </w:r>
      <w:r w:rsidRPr="006C01EB">
        <w:rPr>
          <w:rFonts w:ascii="Palatino Linotype" w:hAnsi="Palatino Linotype"/>
          <w:color w:val="000000"/>
        </w:rPr>
        <w:t>In her essay about standing in stillness by others as they grieve, Nicolet provides a list of best hopes written from the perspective of the griever. Which in this list do you believe are the two or three most helpful for you to remember as you support another? Which two or three would be your best hopes from another if you were grieving?</w:t>
      </w:r>
    </w:p>
    <w:p w14:paraId="678ED066" w14:textId="77777777" w:rsidR="006C01EB" w:rsidRPr="006C01EB" w:rsidRDefault="006C01EB" w:rsidP="006C01EB">
      <w:pPr>
        <w:spacing w:line="293" w:lineRule="atLeast"/>
        <w:ind w:left="1080" w:hanging="360"/>
        <w:rPr>
          <w:rFonts w:ascii="Arial Narrow" w:hAnsi="Arial Narrow"/>
          <w:color w:val="000000"/>
        </w:rPr>
      </w:pPr>
      <w:r w:rsidRPr="006C01EB">
        <w:rPr>
          <w:rFonts w:ascii="Palatino Linotype" w:hAnsi="Palatino Linotype"/>
          <w:color w:val="000000"/>
        </w:rPr>
        <w:t> </w:t>
      </w:r>
    </w:p>
    <w:p w14:paraId="2D9D303E" w14:textId="16BBD510" w:rsidR="00FE5224" w:rsidRPr="00581FF4" w:rsidRDefault="006C01EB" w:rsidP="006C01EB">
      <w:pPr>
        <w:ind w:left="1080" w:hanging="360"/>
        <w:rPr>
          <w:rFonts w:ascii="Arial Narrow" w:hAnsi="Arial Narrow"/>
        </w:rPr>
      </w:pPr>
    </w:p>
    <w:sectPr w:rsidR="00FE5224" w:rsidRPr="00581FF4" w:rsidSect="00581FF4">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21BD"/>
    <w:multiLevelType w:val="hybridMultilevel"/>
    <w:tmpl w:val="115EB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F4"/>
    <w:rsid w:val="00581FF4"/>
    <w:rsid w:val="006C01EB"/>
    <w:rsid w:val="007070CB"/>
    <w:rsid w:val="00B9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F60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1F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Dickmann,Ellie</dc:creator>
  <cp:keywords/>
  <dc:description/>
  <cp:lastModifiedBy>Dickmann,Ellie</cp:lastModifiedBy>
  <cp:revision>2</cp:revision>
  <dcterms:created xsi:type="dcterms:W3CDTF">2018-10-31T21:35:00Z</dcterms:created>
  <dcterms:modified xsi:type="dcterms:W3CDTF">2018-10-31T21:35:00Z</dcterms:modified>
</cp:coreProperties>
</file>